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50" w:rsidRPr="001C3A50" w:rsidRDefault="001C3A50" w:rsidP="001C3A50">
      <w:pPr>
        <w:spacing w:before="100" w:beforeAutospacing="1" w:after="100" w:afterAutospacing="1" w:line="240" w:lineRule="auto"/>
        <w:outlineLvl w:val="0"/>
        <w:rPr>
          <w:rFonts w:asciiTheme="minorHAnsi" w:hAnsiTheme="minorHAnsi" w:cstheme="minorHAnsi"/>
          <w:bCs/>
          <w:kern w:val="36"/>
          <w:sz w:val="24"/>
          <w:szCs w:val="24"/>
        </w:rPr>
      </w:pPr>
      <w:bookmarkStart w:id="0" w:name="_GoBack"/>
      <w:bookmarkEnd w:id="0"/>
      <w:r w:rsidRPr="001C3A50">
        <w:rPr>
          <w:rFonts w:asciiTheme="minorHAnsi" w:hAnsiTheme="minorHAnsi" w:cstheme="minorHAnsi"/>
          <w:bCs/>
          <w:kern w:val="36"/>
          <w:sz w:val="24"/>
          <w:szCs w:val="24"/>
        </w:rPr>
        <w:t>NOVÉ INFORMACE pro uchaz</w:t>
      </w:r>
      <w:r w:rsidR="00743B5E">
        <w:rPr>
          <w:rFonts w:asciiTheme="minorHAnsi" w:hAnsiTheme="minorHAnsi" w:cstheme="minorHAnsi"/>
          <w:bCs/>
          <w:kern w:val="36"/>
          <w:sz w:val="24"/>
          <w:szCs w:val="24"/>
        </w:rPr>
        <w:t>eče o služební poměr v roce 2019</w:t>
      </w:r>
    </w:p>
    <w:p w:rsidR="00BB0066" w:rsidRPr="00BB0066" w:rsidRDefault="001C3A50" w:rsidP="00BB0066">
      <w:pPr>
        <w:autoSpaceDE w:val="0"/>
        <w:autoSpaceDN w:val="0"/>
        <w:jc w:val="both"/>
        <w:rPr>
          <w:rFonts w:asciiTheme="minorHAnsi" w:hAnsiTheme="minorHAnsi" w:cstheme="minorHAnsi"/>
          <w:b w:val="0"/>
        </w:rPr>
      </w:pPr>
      <w:r w:rsidRPr="00BB0066">
        <w:rPr>
          <w:rFonts w:asciiTheme="minorHAnsi" w:hAnsiTheme="minorHAnsi" w:cstheme="minorHAnsi"/>
          <w:b w:val="0"/>
          <w:sz w:val="24"/>
          <w:szCs w:val="24"/>
        </w:rPr>
        <w:t xml:space="preserve">KUTNOHORSKO </w:t>
      </w:r>
      <w:r w:rsidR="00585A60" w:rsidRPr="00BB0066">
        <w:rPr>
          <w:rFonts w:asciiTheme="minorHAnsi" w:hAnsiTheme="minorHAnsi" w:cstheme="minorHAnsi"/>
          <w:b w:val="0"/>
          <w:sz w:val="24"/>
          <w:szCs w:val="24"/>
        </w:rPr>
        <w:t>–</w:t>
      </w:r>
      <w:r w:rsidR="00BB0066" w:rsidRPr="00BB006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B0066">
        <w:rPr>
          <w:rFonts w:asciiTheme="minorHAnsi" w:hAnsiTheme="minorHAnsi" w:cstheme="minorHAnsi"/>
          <w:b w:val="0"/>
          <w:sz w:val="24"/>
          <w:szCs w:val="24"/>
        </w:rPr>
        <w:t xml:space="preserve">Nově příchozí policisté v </w:t>
      </w:r>
      <w:r w:rsidR="00BB0066" w:rsidRPr="00BB0066">
        <w:rPr>
          <w:rFonts w:asciiTheme="minorHAnsi" w:hAnsiTheme="minorHAnsi" w:cstheme="minorHAnsi"/>
          <w:b w:val="0"/>
          <w:sz w:val="24"/>
          <w:szCs w:val="24"/>
        </w:rPr>
        <w:t>rámci Středočeského kraje získají náborový příspěvek ve výši 150 tisíc korun. Výplata náborového příspěvku je vázána šesti měsíční zku</w:t>
      </w:r>
      <w:r w:rsidR="00BB0066">
        <w:rPr>
          <w:rFonts w:asciiTheme="minorHAnsi" w:hAnsiTheme="minorHAnsi" w:cstheme="minorHAnsi"/>
          <w:b w:val="0"/>
          <w:sz w:val="24"/>
          <w:szCs w:val="24"/>
        </w:rPr>
        <w:t xml:space="preserve">šební dobou a závazkem služby v </w:t>
      </w:r>
      <w:r w:rsidR="00BB0066" w:rsidRPr="00BB0066">
        <w:rPr>
          <w:rFonts w:asciiTheme="minorHAnsi" w:hAnsiTheme="minorHAnsi" w:cstheme="minorHAnsi"/>
          <w:b w:val="0"/>
          <w:sz w:val="24"/>
          <w:szCs w:val="24"/>
        </w:rPr>
        <w:t>délce trvání šesti let.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Policistou by se měl stát takový občan, který chce ve svém životě zastávat a ctít zákon, přistupovat individuálně a spravedlivě ke každému občanovi a prohlubovat své znalosti a odbornou kvalifikaci.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C3A50">
        <w:rPr>
          <w:rFonts w:asciiTheme="minorHAnsi" w:hAnsiTheme="minorHAnsi" w:cstheme="minorHAnsi"/>
          <w:bCs/>
          <w:i/>
          <w:iCs/>
          <w:sz w:val="24"/>
          <w:szCs w:val="24"/>
        </w:rPr>
        <w:t>Předpoklady k přijetí do služebního poměru: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Uchazeč o služební poměr musí doručit na personální pracoviště žádost o přijetí do služebního poměru a musí dále splňovat tyto podmínky (§13 odst. 1 zák. č. 361/2003 Sb.):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občanství České republiky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věk nad 18 let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bezúhonnost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minimálně střední vzdělání s maturitní zkouškou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osobnostní, fyzická a zdravotní způsobilost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nebýt členem v politických stranách nebo politických hnutích</w:t>
      </w:r>
    </w:p>
    <w:p w:rsidR="001C3A50" w:rsidRPr="001C3A50" w:rsidRDefault="001C3A50" w:rsidP="001C3A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nevykonávat živnostenské nebo jiné výdělečné činnosti, nebýt členem v řídících nebo kontrolních orgánech právnických osob, které vykonávají podnikatelskou činnost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>Bezúhonnost</w:t>
      </w:r>
      <w:r w:rsidRPr="001C3A50">
        <w:rPr>
          <w:rFonts w:asciiTheme="minorHAnsi" w:hAnsiTheme="minorHAnsi" w:cstheme="minorHAnsi"/>
          <w:b w:val="0"/>
          <w:sz w:val="24"/>
          <w:szCs w:val="24"/>
        </w:rPr>
        <w:t xml:space="preserve"> – prokazuje se opisem z evidence Rejstříku trestů. Policie ČR je oprávněna využívat evidence k ověřování údajů o uchazeči.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>Osobnostní způsobilost</w:t>
      </w:r>
      <w:r w:rsidRPr="001C3A50">
        <w:rPr>
          <w:rFonts w:asciiTheme="minorHAnsi" w:hAnsiTheme="minorHAnsi" w:cstheme="minorHAnsi"/>
          <w:b w:val="0"/>
          <w:sz w:val="24"/>
          <w:szCs w:val="24"/>
        </w:rPr>
        <w:t xml:space="preserve"> - prověřuje se psychologickým vyšetřením u policejního psychologa se zaměřením na zjištění osobnostních předpokladů potřebných pro výkon služby. Uchazeč během vyšetření vyplňuje osobnostní dotazníky, podrobuje se výkonovým testům a účastní se řízeného rozhovoru s psychologem.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bCs/>
          <w:sz w:val="24"/>
          <w:szCs w:val="24"/>
        </w:rPr>
        <w:t>Zdravotní způsobilost</w:t>
      </w:r>
      <w:r w:rsidRPr="001C3A50">
        <w:rPr>
          <w:rFonts w:asciiTheme="minorHAnsi" w:hAnsiTheme="minorHAnsi" w:cstheme="minorHAnsi"/>
          <w:b w:val="0"/>
          <w:sz w:val="24"/>
          <w:szCs w:val="24"/>
        </w:rPr>
        <w:t xml:space="preserve"> k výkonu služby je posuzována policejním lékařem na základě výpisu ze zdravotní dokumentace a dalších vyšetření.</w:t>
      </w:r>
    </w:p>
    <w:p w:rsidR="00BB0066" w:rsidRPr="00BB0066" w:rsidRDefault="001C3A50" w:rsidP="001C3A50">
      <w:pPr>
        <w:spacing w:before="100" w:beforeAutospacing="1" w:after="100" w:afterAutospacing="1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 xml:space="preserve">Fyzická způsobilost </w:t>
      </w:r>
      <w:r w:rsidRPr="001C3A50">
        <w:rPr>
          <w:rFonts w:asciiTheme="minorHAnsi" w:hAnsiTheme="minorHAnsi" w:cstheme="minorHAnsi"/>
          <w:b w:val="0"/>
          <w:bCs/>
          <w:sz w:val="24"/>
          <w:szCs w:val="24"/>
        </w:rPr>
        <w:t>– splnění fyzických testů.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C3A50">
        <w:rPr>
          <w:rFonts w:asciiTheme="minorHAnsi" w:hAnsiTheme="minorHAnsi" w:cstheme="minorHAnsi"/>
          <w:bCs/>
          <w:i/>
          <w:iCs/>
          <w:sz w:val="24"/>
          <w:szCs w:val="24"/>
        </w:rPr>
        <w:t>Průběh přijímacího řízení: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lastRenderedPageBreak/>
        <w:t>Nábor probíhá pouze formou náborového kempu (urychlení celého řízení). Zahajuje se doručením žádosti, následují testy osobnostní způsobilosti (skládají se z 2 částí), testy fyzické zdatnosti a lékařské vyšetření. Během kempu je zajištěné ubytování, strava a doprava do kempu a zpět.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Krajské ředitelství policie Středočeského kraje ustanovuje podle svých potřeb s přihlédnutím k trvalému nebo přechodnému bydlišti.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>OD PŘIJÍMACÍHO ŘÍZENÍ MOHOU OBĚ STRANY KDYKOLIV ODSTOUPIT.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>NA PŘIJETÍ DO SLUŽEBNÍHO POMĚRU NENÍ PRÁVNÍ NÁROK.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Při nástupu do služebního poměru musí uchazeč složit služební slib (který stvrdí svým podpisem):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i/>
          <w:sz w:val="24"/>
          <w:szCs w:val="24"/>
        </w:rPr>
        <w:t>„Slibuji na svou čest a svědomí, že při výkonu služby budu nestranný a budu důsledně dodržovat právní a služební předpisy, plnit rozkazy svých nadřízených a nikdy nezneužiji svého služebního postavení. Budu se vždy a všude chovat tak, abych svým jednáním neohrozil dobrou pověst bezpečnostního sboru. Služební povinnosti budu plnit řádně a svědomitě a nebudu váhat při ochraně zájmů České republiky nasadit i vlastní život.“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Služební poměr je u nově nastupujících policistů uzavírán na dobu určitou v trvání 3 let se zkušební 6 měsíců. Na dobu neurčitou se služební poměr změní po řádném vykonání služební zkoušky.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C3A50">
        <w:rPr>
          <w:rFonts w:asciiTheme="minorHAnsi" w:hAnsiTheme="minorHAnsi" w:cstheme="minorHAnsi"/>
          <w:sz w:val="24"/>
          <w:szCs w:val="24"/>
        </w:rPr>
        <w:t>Nastupující policisté jsou zařazení na 2TT – vrchní referent.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C3A50">
        <w:rPr>
          <w:rFonts w:asciiTheme="minorHAnsi" w:hAnsiTheme="minorHAnsi" w:cstheme="minorHAnsi"/>
          <w:bCs/>
          <w:i/>
          <w:iCs/>
          <w:sz w:val="24"/>
          <w:szCs w:val="24"/>
        </w:rPr>
        <w:t>Základní odborná příprava: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V současné době probíhá Základní odborná příprava po dobu 12 měsíců a to na Policejní akademii (Školním policejním středisku Sadská), Vyšší policejní škole (Brno, Holešov nebo Praha) a útvaru. V rámci Základní odborné přípravy je započteno i volno v délce 6 týdnů. Studium je denní – od pondělí do pátku. Studium je zakončeno vykonáním zkoušek. Poté policista nastupuje k útvaru, na který byl ustanoven.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C3A50">
        <w:rPr>
          <w:rFonts w:asciiTheme="minorHAnsi" w:hAnsiTheme="minorHAnsi" w:cstheme="minorHAnsi"/>
          <w:bCs/>
          <w:i/>
          <w:iCs/>
          <w:sz w:val="24"/>
          <w:szCs w:val="24"/>
        </w:rPr>
        <w:t>Skladba služebního příjmu, výsluhové nároky a další sociální výhody: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Policistovi přísluší služební příjem za výkon služby. Služební příjem je tvořen z následujících složek:</w:t>
      </w:r>
    </w:p>
    <w:p w:rsidR="001C3A50" w:rsidRPr="001C3A50" w:rsidRDefault="001C3A50" w:rsidP="001C3A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základní tarif (tj. platový stupeň v platové třídě stanovený podle vzdělání, započítané praxe a služebního místa, na které je policista ustanoven)</w:t>
      </w:r>
    </w:p>
    <w:p w:rsidR="001C3A50" w:rsidRPr="001C3A50" w:rsidRDefault="001C3A50" w:rsidP="001C3A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zvláštní příplatek (např. za činnosti spojené s ochranou zájmů státu, při nichž může dojít k ohrožení života, zdraví)</w:t>
      </w:r>
    </w:p>
    <w:p w:rsidR="001C3A50" w:rsidRPr="001C3A50" w:rsidRDefault="001C3A50" w:rsidP="001C3A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osobní příplatek (nenárokový)</w:t>
      </w:r>
    </w:p>
    <w:p w:rsidR="001C3A50" w:rsidRPr="001C3A50" w:rsidRDefault="001C3A50" w:rsidP="001C3A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odměna (nenároková)</w:t>
      </w:r>
    </w:p>
    <w:p w:rsidR="00D83F3A" w:rsidRPr="00D83F3A" w:rsidRDefault="00D83F3A" w:rsidP="00D83F3A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3A">
        <w:rPr>
          <w:rFonts w:asciiTheme="minorHAnsi" w:hAnsiTheme="minorHAnsi" w:cstheme="minorHAnsi"/>
          <w:sz w:val="24"/>
          <w:szCs w:val="24"/>
        </w:rPr>
        <w:t xml:space="preserve">Nově nastupující policisté jsou zařazeni do 2. tarifní třídy, 1. tarifního stupně platové třídy. Celková </w:t>
      </w:r>
      <w:r w:rsidR="00743B5E">
        <w:rPr>
          <w:rFonts w:asciiTheme="minorHAnsi" w:hAnsiTheme="minorHAnsi" w:cstheme="minorHAnsi"/>
          <w:sz w:val="24"/>
          <w:szCs w:val="24"/>
        </w:rPr>
        <w:t xml:space="preserve">nástupní </w:t>
      </w:r>
      <w:r w:rsidRPr="00D83F3A">
        <w:rPr>
          <w:rFonts w:asciiTheme="minorHAnsi" w:hAnsiTheme="minorHAnsi" w:cstheme="minorHAnsi"/>
          <w:sz w:val="24"/>
          <w:szCs w:val="24"/>
        </w:rPr>
        <w:t>mzda spolu se zvláštním příplatkem činí celkem 24.220 Kč. Po ukončení Základní odborné přípravy (po 1 roce) služební příjem přesahuje částku 29.240 Kč hrubého.</w:t>
      </w:r>
    </w:p>
    <w:p w:rsidR="00BB0066" w:rsidRDefault="00BB0066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D4CA3" w:rsidRDefault="005D4CA3" w:rsidP="001C3A50">
      <w:pPr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NÁBOROVÝ P</w:t>
      </w:r>
      <w:r>
        <w:rPr>
          <w:rFonts w:ascii="Arial,Bold" w:hAnsi="Arial,Bold" w:cs="Arial,Bold"/>
          <w:bCs/>
          <w:sz w:val="24"/>
          <w:szCs w:val="24"/>
        </w:rPr>
        <w:t>Ř</w:t>
      </w:r>
      <w:r>
        <w:rPr>
          <w:bCs/>
          <w:sz w:val="24"/>
          <w:szCs w:val="24"/>
        </w:rPr>
        <w:t>ÍSP</w:t>
      </w:r>
      <w:r>
        <w:rPr>
          <w:rFonts w:ascii="Arial,Bold" w:hAnsi="Arial,Bold" w:cs="Arial,Bold"/>
          <w:bCs/>
          <w:sz w:val="24"/>
          <w:szCs w:val="24"/>
        </w:rPr>
        <w:t>Ě</w:t>
      </w:r>
      <w:r>
        <w:rPr>
          <w:bCs/>
          <w:sz w:val="24"/>
          <w:szCs w:val="24"/>
        </w:rPr>
        <w:t>VEK</w:t>
      </w:r>
    </w:p>
    <w:p w:rsidR="00BB0066" w:rsidRPr="00BB0066" w:rsidRDefault="00BB0066" w:rsidP="00BB0066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Nově příchozí policisté v </w:t>
      </w:r>
      <w:r w:rsidRPr="00BB0066">
        <w:rPr>
          <w:rFonts w:asciiTheme="minorHAnsi" w:hAnsiTheme="minorHAnsi" w:cstheme="minorHAnsi"/>
          <w:sz w:val="24"/>
          <w:szCs w:val="24"/>
        </w:rPr>
        <w:t>rámci Středočeského kraje získají náborový příspěvek ve výši 150 tisíc korun. Výplata náborového příspěvku je vázána šesti měsíční zku</w:t>
      </w:r>
      <w:r>
        <w:rPr>
          <w:rFonts w:asciiTheme="minorHAnsi" w:hAnsiTheme="minorHAnsi" w:cstheme="minorHAnsi"/>
          <w:sz w:val="24"/>
          <w:szCs w:val="24"/>
        </w:rPr>
        <w:t xml:space="preserve">šební dobou a závazkem služby v </w:t>
      </w:r>
      <w:r w:rsidRPr="00BB0066">
        <w:rPr>
          <w:rFonts w:asciiTheme="minorHAnsi" w:hAnsiTheme="minorHAnsi" w:cstheme="minorHAnsi"/>
          <w:sz w:val="24"/>
          <w:szCs w:val="24"/>
        </w:rPr>
        <w:t>délce trvání šesti let.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Příslušník má nárok na bezplatnou služební výstroj (uniforma, obuv) a doplňky ke služební výstroji</w:t>
      </w:r>
      <w:r w:rsidRPr="001C3A50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>Výsluhové nároky</w:t>
      </w:r>
      <w:r w:rsidRPr="001C3A50">
        <w:rPr>
          <w:rFonts w:asciiTheme="minorHAnsi" w:hAnsiTheme="minorHAnsi" w:cstheme="minorHAnsi"/>
          <w:b w:val="0"/>
          <w:bCs/>
          <w:sz w:val="24"/>
          <w:szCs w:val="24"/>
        </w:rPr>
        <w:t xml:space="preserve"> - </w:t>
      </w:r>
      <w:r w:rsidRPr="001C3A50">
        <w:rPr>
          <w:rFonts w:asciiTheme="minorHAnsi" w:hAnsiTheme="minorHAnsi" w:cstheme="minorHAnsi"/>
          <w:b w:val="0"/>
          <w:sz w:val="24"/>
          <w:szCs w:val="24"/>
        </w:rPr>
        <w:t>Odchodné se poskytuje jednorázově po šesti letech trvání služebního poměru. Je poskytováno ve výši jednoho měsíčního hrubého služebního příjmu a zvyšuje se o jednu třetinu za každý další ukončený rok trvání služebního poměru. Nejvyšší výměra odchodného činí šestinásobek měsíčního hrubého služebního příjmu.</w:t>
      </w:r>
    </w:p>
    <w:p w:rsidR="001C3A50" w:rsidRPr="001C3A50" w:rsidRDefault="00062CEE" w:rsidP="001C3A5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Výsluhový</w:t>
      </w:r>
      <w:r w:rsidR="001C3A50" w:rsidRPr="001C3A50">
        <w:rPr>
          <w:rFonts w:asciiTheme="minorHAnsi" w:hAnsiTheme="minorHAnsi" w:cstheme="minorHAnsi"/>
          <w:b w:val="0"/>
          <w:sz w:val="24"/>
          <w:szCs w:val="24"/>
        </w:rPr>
        <w:t xml:space="preserve"> příspěvek </w:t>
      </w:r>
      <w:r w:rsidR="001C3A50">
        <w:rPr>
          <w:rFonts w:asciiTheme="minorHAnsi" w:hAnsiTheme="minorHAnsi" w:cstheme="minorHAnsi"/>
          <w:b w:val="0"/>
          <w:sz w:val="24"/>
          <w:szCs w:val="24"/>
        </w:rPr>
        <w:t xml:space="preserve">je </w:t>
      </w:r>
      <w:r w:rsidR="001C3A50" w:rsidRPr="001C3A50">
        <w:rPr>
          <w:rFonts w:asciiTheme="minorHAnsi" w:hAnsiTheme="minorHAnsi" w:cstheme="minorHAnsi"/>
          <w:b w:val="0"/>
          <w:sz w:val="24"/>
          <w:szCs w:val="24"/>
        </w:rPr>
        <w:t>20 % měsíčního hrubého služebního příjmu, jestliže policista vykonával službu alespoň po dobu 15 let. Dále se výsluhový příspěvek zvyšuje o procenta za každý další ukončený rok.</w:t>
      </w:r>
    </w:p>
    <w:p w:rsidR="001C3A50" w:rsidRPr="001C3A50" w:rsidRDefault="001C3A50" w:rsidP="001C3A5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C3A50">
        <w:rPr>
          <w:rFonts w:asciiTheme="minorHAnsi" w:hAnsiTheme="minorHAnsi" w:cstheme="minorHAnsi"/>
          <w:bCs/>
          <w:sz w:val="24"/>
          <w:szCs w:val="24"/>
        </w:rPr>
        <w:t>Sociální výhody</w:t>
      </w:r>
    </w:p>
    <w:p w:rsidR="001C3A50" w:rsidRPr="001C3A50" w:rsidRDefault="001C3A50" w:rsidP="001C3A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základní doba služby je 37,5 hodin / týdně a rozvrhuje se pravidelně nebo nepravidelně v dvousměnném, třísměnném nebo nepřetržitém režimu</w:t>
      </w:r>
    </w:p>
    <w:p w:rsidR="001C3A50" w:rsidRPr="001C3A50" w:rsidRDefault="001C3A50" w:rsidP="001C3A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policista má nárok na 6 týdnu dovolené v kalendářním roce</w:t>
      </w:r>
    </w:p>
    <w:p w:rsidR="001C3A50" w:rsidRPr="001C3A50" w:rsidRDefault="001C3A50" w:rsidP="001C3A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policistům, jejichž služební poměr trval alespoň 15 let, se poskytuje k upevnění jejich zdraví ozdravný pobyt v délce 14 kalendářních dní v roce ve formě tělesných rehabilitačních aktivit</w:t>
      </w:r>
    </w:p>
    <w:p w:rsidR="001C3A50" w:rsidRPr="001C3A50" w:rsidRDefault="001C3A50" w:rsidP="001C3A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pro policisty je zajištěna bezplatná psychologická péče a provoz anonymní Linky pomoci v krizi</w:t>
      </w:r>
    </w:p>
    <w:p w:rsidR="001C3A50" w:rsidRPr="001C3A50" w:rsidRDefault="001C3A50" w:rsidP="001C3A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sz w:val="24"/>
          <w:szCs w:val="24"/>
        </w:rPr>
        <w:t>dále lze mezi výhody zařadit i příspěvek na penzijní připojištění, kulturní akce z fondu kulturních a sociálních potřeb</w:t>
      </w:r>
    </w:p>
    <w:p w:rsidR="00D83F3A" w:rsidRDefault="00D83F3A" w:rsidP="001C3A50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E97783" w:rsidRDefault="00D83F3A" w:rsidP="00E9778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color w:val="111111"/>
          <w:sz w:val="20"/>
          <w:szCs w:val="20"/>
        </w:rPr>
      </w:pPr>
      <w:r w:rsidRPr="001C3A50">
        <w:rPr>
          <w:rFonts w:asciiTheme="minorHAnsi" w:hAnsiTheme="minorHAnsi" w:cstheme="minorHAnsi"/>
          <w:b w:val="0"/>
          <w:bCs/>
          <w:sz w:val="24"/>
          <w:szCs w:val="24"/>
        </w:rPr>
        <w:t xml:space="preserve">V případě zájmu </w:t>
      </w:r>
      <w:r w:rsidR="00E97783" w:rsidRPr="001C3A50">
        <w:rPr>
          <w:rFonts w:asciiTheme="minorHAnsi" w:hAnsiTheme="minorHAnsi" w:cstheme="minorHAnsi"/>
          <w:b w:val="0"/>
          <w:bCs/>
          <w:sz w:val="24"/>
          <w:szCs w:val="24"/>
        </w:rPr>
        <w:t>můžete kontaktovat p</w:t>
      </w:r>
      <w:r w:rsidR="00E97783">
        <w:rPr>
          <w:rFonts w:asciiTheme="minorHAnsi" w:hAnsiTheme="minorHAnsi" w:cstheme="minorHAnsi"/>
          <w:b w:val="0"/>
          <w:bCs/>
          <w:sz w:val="24"/>
          <w:szCs w:val="24"/>
        </w:rPr>
        <w:t xml:space="preserve">olicisty nebo </w:t>
      </w:r>
      <w:r w:rsidR="00E97783" w:rsidRPr="003F119F">
        <w:rPr>
          <w:rFonts w:asciiTheme="minorHAnsi" w:hAnsiTheme="minorHAnsi" w:cstheme="minorHAnsi"/>
          <w:bCs/>
          <w:sz w:val="24"/>
          <w:szCs w:val="24"/>
        </w:rPr>
        <w:t xml:space="preserve">vedení </w:t>
      </w:r>
      <w:r w:rsidR="00E97783">
        <w:rPr>
          <w:rFonts w:asciiTheme="minorHAnsi" w:hAnsiTheme="minorHAnsi" w:cstheme="minorHAnsi"/>
          <w:bCs/>
          <w:sz w:val="24"/>
          <w:szCs w:val="24"/>
        </w:rPr>
        <w:t>uhlířskojanovického</w:t>
      </w:r>
      <w:r w:rsidR="00E97783" w:rsidRPr="003F119F">
        <w:rPr>
          <w:rFonts w:asciiTheme="minorHAnsi" w:hAnsiTheme="minorHAnsi" w:cstheme="minorHAnsi"/>
          <w:bCs/>
          <w:sz w:val="24"/>
          <w:szCs w:val="24"/>
        </w:rPr>
        <w:t xml:space="preserve"> obvodního oddělení</w:t>
      </w:r>
      <w:r w:rsidR="00E97783" w:rsidRPr="001C3A50">
        <w:rPr>
          <w:rFonts w:asciiTheme="minorHAnsi" w:hAnsiTheme="minorHAnsi" w:cstheme="minorHAnsi"/>
          <w:b w:val="0"/>
          <w:bCs/>
          <w:sz w:val="24"/>
          <w:szCs w:val="24"/>
        </w:rPr>
        <w:t xml:space="preserve">, buď osobně, nebo </w:t>
      </w:r>
      <w:r w:rsidR="00E97783" w:rsidRPr="00493FB9">
        <w:rPr>
          <w:rFonts w:asciiTheme="minorHAnsi" w:hAnsiTheme="minorHAnsi" w:cstheme="minorHAnsi"/>
          <w:bCs/>
          <w:sz w:val="24"/>
          <w:szCs w:val="24"/>
        </w:rPr>
        <w:t>na tel. čísle 974 875</w:t>
      </w:r>
      <w:r w:rsidR="00E97783">
        <w:rPr>
          <w:rFonts w:asciiTheme="minorHAnsi" w:hAnsiTheme="minorHAnsi" w:cstheme="minorHAnsi"/>
          <w:bCs/>
          <w:sz w:val="24"/>
          <w:szCs w:val="24"/>
        </w:rPr>
        <w:t> </w:t>
      </w:r>
      <w:r w:rsidR="00E97783" w:rsidRPr="00493FB9">
        <w:rPr>
          <w:rFonts w:asciiTheme="minorHAnsi" w:hAnsiTheme="minorHAnsi" w:cstheme="minorHAnsi"/>
          <w:bCs/>
          <w:sz w:val="24"/>
          <w:szCs w:val="24"/>
        </w:rPr>
        <w:t>7</w:t>
      </w:r>
      <w:r w:rsidR="00E97783">
        <w:rPr>
          <w:rFonts w:asciiTheme="minorHAnsi" w:hAnsiTheme="minorHAnsi" w:cstheme="minorHAnsi"/>
          <w:bCs/>
          <w:sz w:val="24"/>
          <w:szCs w:val="24"/>
        </w:rPr>
        <w:t>2</w:t>
      </w:r>
      <w:r w:rsidR="00E97783" w:rsidRPr="00493FB9">
        <w:rPr>
          <w:rFonts w:asciiTheme="minorHAnsi" w:hAnsiTheme="minorHAnsi" w:cstheme="minorHAnsi"/>
          <w:bCs/>
          <w:sz w:val="24"/>
          <w:szCs w:val="24"/>
        </w:rPr>
        <w:t>0</w:t>
      </w:r>
      <w:r w:rsidR="00E97783">
        <w:rPr>
          <w:rFonts w:asciiTheme="minorHAnsi" w:hAnsiTheme="minorHAnsi" w:cstheme="minorHAnsi"/>
          <w:bCs/>
          <w:sz w:val="24"/>
          <w:szCs w:val="24"/>
        </w:rPr>
        <w:t xml:space="preserve">, nebo e-mailem </w:t>
      </w:r>
      <w:hyperlink r:id="rId7" w:history="1">
        <w:r w:rsidR="00E97783" w:rsidRPr="00B142BF">
          <w:rPr>
            <w:rStyle w:val="Hypertextovodkaz"/>
            <w:rFonts w:ascii="Segoe UI" w:hAnsi="Segoe UI" w:cs="Segoe UI"/>
            <w:sz w:val="20"/>
            <w:szCs w:val="20"/>
          </w:rPr>
          <w:t>kh.oo.janovice@pcr.cz</w:t>
        </w:r>
      </w:hyperlink>
    </w:p>
    <w:p w:rsidR="00D83F3A" w:rsidRPr="00493FB9" w:rsidRDefault="00E97783" w:rsidP="003A15C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A50">
        <w:rPr>
          <w:rFonts w:asciiTheme="minorHAnsi" w:hAnsiTheme="minorHAnsi" w:cstheme="minorHAnsi"/>
          <w:b w:val="0"/>
          <w:bCs/>
          <w:sz w:val="24"/>
          <w:szCs w:val="24"/>
        </w:rPr>
        <w:t xml:space="preserve">Případně </w:t>
      </w:r>
      <w:r w:rsidR="00D83F3A" w:rsidRPr="001C3A50">
        <w:rPr>
          <w:rFonts w:asciiTheme="minorHAnsi" w:hAnsiTheme="minorHAnsi" w:cstheme="minorHAnsi"/>
          <w:b w:val="0"/>
          <w:bCs/>
          <w:sz w:val="24"/>
          <w:szCs w:val="24"/>
        </w:rPr>
        <w:t xml:space="preserve">kontaktujte pracovníky Územního odboru </w:t>
      </w:r>
      <w:r w:rsidR="00D83F3A" w:rsidRPr="00D779F9">
        <w:rPr>
          <w:rFonts w:asciiTheme="minorHAnsi" w:hAnsiTheme="minorHAnsi" w:cstheme="minorHAnsi"/>
          <w:bCs/>
          <w:sz w:val="24"/>
          <w:szCs w:val="24"/>
        </w:rPr>
        <w:t>Kutná</w:t>
      </w:r>
      <w:r w:rsidR="00D83F3A" w:rsidRPr="001C3A50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D83F3A">
        <w:rPr>
          <w:rFonts w:asciiTheme="minorHAnsi" w:hAnsiTheme="minorHAnsi" w:cstheme="minorHAnsi"/>
          <w:bCs/>
          <w:sz w:val="24"/>
          <w:szCs w:val="24"/>
        </w:rPr>
        <w:t>Hora na tel. číslo 974 875 400, 974 875 208</w:t>
      </w:r>
      <w:r w:rsidR="00D83F3A" w:rsidRPr="00493F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3F3A">
        <w:rPr>
          <w:rFonts w:asciiTheme="minorHAnsi" w:hAnsiTheme="minorHAnsi" w:cstheme="minorHAnsi"/>
          <w:bCs/>
          <w:sz w:val="24"/>
          <w:szCs w:val="24"/>
        </w:rPr>
        <w:t xml:space="preserve">nebo pište na e-mail </w:t>
      </w:r>
      <w:hyperlink r:id="rId8" w:history="1">
        <w:r w:rsidR="00743B5E" w:rsidRPr="00E16C5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irena.svobodova@pcr.cz</w:t>
        </w:r>
      </w:hyperlink>
      <w:r w:rsidR="003A15CD">
        <w:rPr>
          <w:rFonts w:asciiTheme="minorHAnsi" w:hAnsiTheme="minorHAnsi" w:cstheme="minorHAnsi"/>
          <w:bCs/>
          <w:sz w:val="24"/>
          <w:szCs w:val="24"/>
        </w:rPr>
        <w:t xml:space="preserve"> ; </w:t>
      </w:r>
      <w:hyperlink r:id="rId9" w:history="1">
        <w:r w:rsidR="003A15CD" w:rsidRPr="00A209C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vendulka.mareckova@pcr.cz</w:t>
        </w:r>
      </w:hyperlink>
      <w:r w:rsidR="003A15C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83F3A" w:rsidRDefault="00D83F3A" w:rsidP="001C3A50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83F3A" w:rsidRDefault="00D83F3A" w:rsidP="001C3A50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83F3A" w:rsidRDefault="00D83F3A" w:rsidP="001C3A50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83F3A" w:rsidRDefault="00D83F3A" w:rsidP="001C3A50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2221A" w:rsidRPr="00BB0066" w:rsidRDefault="00BB0066" w:rsidP="001C3A50">
      <w:pPr>
        <w:rPr>
          <w:rFonts w:asciiTheme="minorHAnsi" w:hAnsiTheme="minorHAnsi" w:cstheme="minorHAnsi"/>
          <w:b w:val="0"/>
          <w:sz w:val="24"/>
          <w:szCs w:val="24"/>
        </w:rPr>
      </w:pPr>
      <w:r w:rsidRPr="00BB0066">
        <w:rPr>
          <w:rFonts w:asciiTheme="minorHAnsi" w:hAnsiTheme="minorHAnsi" w:cstheme="minorHAnsi"/>
          <w:b w:val="0"/>
          <w:sz w:val="24"/>
          <w:szCs w:val="24"/>
        </w:rPr>
        <w:t>por. Mgr. Vendulka Marečková</w:t>
      </w:r>
      <w:r w:rsidRPr="00BB0066">
        <w:rPr>
          <w:rFonts w:asciiTheme="minorHAnsi" w:hAnsiTheme="minorHAnsi" w:cstheme="minorHAnsi"/>
          <w:b w:val="0"/>
          <w:sz w:val="24"/>
          <w:szCs w:val="24"/>
        </w:rPr>
        <w:br/>
        <w:t>t</w:t>
      </w:r>
      <w:r w:rsidR="00D83F3A">
        <w:rPr>
          <w:rFonts w:asciiTheme="minorHAnsi" w:hAnsiTheme="minorHAnsi" w:cstheme="minorHAnsi"/>
          <w:b w:val="0"/>
          <w:sz w:val="24"/>
          <w:szCs w:val="24"/>
        </w:rPr>
        <w:t>isková mluvčí</w:t>
      </w:r>
      <w:r w:rsidR="00D83F3A">
        <w:rPr>
          <w:rFonts w:asciiTheme="minorHAnsi" w:hAnsiTheme="minorHAnsi" w:cstheme="minorHAnsi"/>
          <w:b w:val="0"/>
          <w:sz w:val="24"/>
          <w:szCs w:val="24"/>
        </w:rPr>
        <w:br/>
        <w:t>P ČR Kutná Hora</w:t>
      </w:r>
      <w:r w:rsidR="00D83F3A">
        <w:rPr>
          <w:rFonts w:asciiTheme="minorHAnsi" w:hAnsiTheme="minorHAnsi" w:cstheme="minorHAnsi"/>
          <w:b w:val="0"/>
          <w:sz w:val="24"/>
          <w:szCs w:val="24"/>
        </w:rPr>
        <w:br/>
        <w:t>17. ledna 2019</w:t>
      </w:r>
    </w:p>
    <w:sectPr w:rsidR="00D2221A" w:rsidRPr="00BB0066" w:rsidSect="00F45E25">
      <w:headerReference w:type="first" r:id="rId10"/>
      <w:footerReference w:type="first" r:id="rId11"/>
      <w:type w:val="continuous"/>
      <w:pgSz w:w="11906" w:h="16838" w:code="9"/>
      <w:pgMar w:top="1418" w:right="851" w:bottom="1418" w:left="1361" w:header="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A9" w:rsidRDefault="009D26A9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separator/>
      </w:r>
    </w:p>
  </w:endnote>
  <w:endnote w:type="continuationSeparator" w:id="0">
    <w:p w:rsidR="009D26A9" w:rsidRDefault="009D26A9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8" w:rsidRDefault="00767D68">
    <w:pPr>
      <w:pStyle w:val="Zpat"/>
      <w:rPr>
        <w:rFonts w:ascii="Times New Roman" w:hAnsi="Times New Roman" w:cs="Times New Roman"/>
        <w:b w:val="0"/>
      </w:rPr>
    </w:pPr>
  </w:p>
  <w:p w:rsidR="00767D68" w:rsidRDefault="00767D68">
    <w:pPr>
      <w:pStyle w:val="Zpat"/>
      <w:rPr>
        <w:rFonts w:ascii="Times New Roman" w:hAnsi="Times New Roman" w:cs="Times New Roman"/>
        <w:b w:val="0"/>
      </w:rPr>
    </w:pPr>
  </w:p>
  <w:p w:rsidR="00E647E8" w:rsidRPr="00E647E8" w:rsidRDefault="00F45E25" w:rsidP="00E647E8">
    <w:pPr>
      <w:pStyle w:val="Zpat"/>
      <w:rPr>
        <w:b w:val="0"/>
        <w:sz w:val="16"/>
        <w:szCs w:val="16"/>
      </w:rPr>
    </w:pPr>
    <w:r>
      <w:rPr>
        <w:b w:val="0"/>
        <w:noProof/>
        <w:sz w:val="16"/>
        <w:szCs w:val="16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19050" t="0" r="9525" b="0"/>
          <wp:wrapNone/>
          <wp:docPr id="11" name="obrázek 11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li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A9" w:rsidRDefault="009D26A9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separator/>
      </w:r>
    </w:p>
  </w:footnote>
  <w:footnote w:type="continuationSeparator" w:id="0">
    <w:p w:rsidR="009D26A9" w:rsidRDefault="009D26A9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6" w:type="dxa"/>
      <w:tblLayout w:type="fixed"/>
      <w:tblCellMar>
        <w:left w:w="0" w:type="dxa"/>
        <w:right w:w="0" w:type="dxa"/>
      </w:tblCellMar>
      <w:tblLook w:val="0000"/>
    </w:tblPr>
    <w:tblGrid>
      <w:gridCol w:w="1226"/>
      <w:gridCol w:w="148"/>
      <w:gridCol w:w="6321"/>
      <w:gridCol w:w="2231"/>
    </w:tblGrid>
    <w:tr w:rsidR="00767D68" w:rsidTr="00003F95">
      <w:trPr>
        <w:cantSplit/>
        <w:trHeight w:val="724"/>
      </w:trPr>
      <w:tc>
        <w:tcPr>
          <w:tcW w:w="1226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63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5E25" w:rsidRDefault="00F45E25">
          <w:pPr>
            <w:pStyle w:val="Zhlav"/>
            <w:rPr>
              <w:b w:val="0"/>
            </w:rPr>
          </w:pPr>
        </w:p>
        <w:p w:rsidR="00767D68" w:rsidRDefault="00767D68">
          <w:pPr>
            <w:pStyle w:val="Zhlav"/>
            <w:rPr>
              <w:b w:val="0"/>
            </w:rPr>
          </w:pPr>
          <w:r>
            <w:rPr>
              <w:b w:val="0"/>
            </w:rPr>
            <w:t>KRAJSKÉ ŘEDITELSTVÍ POLICIE STŘEDOČESKÉHO KRAJE</w:t>
          </w:r>
        </w:p>
      </w:tc>
      <w:tc>
        <w:tcPr>
          <w:tcW w:w="223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767D68" w:rsidRDefault="00767D68">
          <w:pPr>
            <w:pStyle w:val="Zhlav"/>
            <w:jc w:val="right"/>
            <w:rPr>
              <w:rFonts w:ascii="Times New Roman" w:hAnsi="Times New Roman" w:cs="Times New Roman"/>
              <w:b w:val="0"/>
            </w:rPr>
          </w:pPr>
        </w:p>
      </w:tc>
    </w:tr>
    <w:tr w:rsidR="00767D68" w:rsidTr="00003F95">
      <w:trPr>
        <w:cantSplit/>
        <w:trHeight w:val="541"/>
      </w:trPr>
      <w:tc>
        <w:tcPr>
          <w:tcW w:w="1226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632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3F95" w:rsidRDefault="00003F95">
          <w:pPr>
            <w:pStyle w:val="Zahlavi2"/>
            <w:rPr>
              <w:b w:val="0"/>
            </w:rPr>
          </w:pPr>
        </w:p>
        <w:p w:rsidR="00003F95" w:rsidRDefault="00003F95">
          <w:pPr>
            <w:pStyle w:val="Zahlavi2"/>
            <w:rPr>
              <w:b w:val="0"/>
            </w:rPr>
          </w:pPr>
        </w:p>
        <w:p w:rsidR="00003F95" w:rsidRDefault="00003F95">
          <w:pPr>
            <w:pStyle w:val="Zahlavi2"/>
            <w:rPr>
              <w:b w:val="0"/>
            </w:rPr>
          </w:pPr>
        </w:p>
        <w:p w:rsidR="00767D68" w:rsidRDefault="00767D68">
          <w:pPr>
            <w:pStyle w:val="Zahlavi2"/>
            <w:rPr>
              <w:b w:val="0"/>
            </w:rPr>
          </w:pPr>
          <w:r>
            <w:rPr>
              <w:b w:val="0"/>
            </w:rPr>
            <w:t xml:space="preserve">Územní odbor </w:t>
          </w:r>
          <w:r w:rsidR="00802903">
            <w:rPr>
              <w:b w:val="0"/>
            </w:rPr>
            <w:t>Kutná Hora</w:t>
          </w:r>
        </w:p>
        <w:p w:rsidR="00767D68" w:rsidRDefault="00767D68">
          <w:pPr>
            <w:pStyle w:val="Zahlavi2"/>
            <w:rPr>
              <w:b w:val="0"/>
            </w:rPr>
          </w:pPr>
        </w:p>
        <w:p w:rsidR="00767D68" w:rsidRDefault="00767D68" w:rsidP="00003F95">
          <w:pPr>
            <w:pStyle w:val="Zahlavi2"/>
            <w:rPr>
              <w:b w:val="0"/>
            </w:rPr>
          </w:pPr>
        </w:p>
      </w:tc>
      <w:tc>
        <w:tcPr>
          <w:tcW w:w="223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767D68" w:rsidRDefault="00767D68">
          <w:pPr>
            <w:pStyle w:val="Zhlav"/>
            <w:jc w:val="right"/>
            <w:rPr>
              <w:rFonts w:ascii="Times New Roman" w:hAnsi="Times New Roman" w:cs="Times New Roman"/>
              <w:b w:val="0"/>
            </w:rPr>
          </w:pPr>
        </w:p>
      </w:tc>
    </w:tr>
    <w:tr w:rsidR="00767D68" w:rsidTr="00003F95">
      <w:trPr>
        <w:trHeight w:hRule="exact" w:val="300"/>
      </w:trPr>
      <w:tc>
        <w:tcPr>
          <w:tcW w:w="992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jc w:val="right"/>
            <w:rPr>
              <w:rFonts w:ascii="Times New Roman" w:hAnsi="Times New Roman" w:cs="Times New Roman"/>
              <w:b w:val="0"/>
            </w:rPr>
          </w:pPr>
        </w:p>
        <w:p w:rsidR="00003F95" w:rsidRPr="00003F95" w:rsidRDefault="00003F95" w:rsidP="00003F95"/>
      </w:tc>
    </w:tr>
  </w:tbl>
  <w:p w:rsidR="00767D68" w:rsidRDefault="00F45E25">
    <w:pPr>
      <w:pStyle w:val="Zhlav"/>
      <w:rPr>
        <w:rFonts w:ascii="Times New Roman" w:hAnsi="Times New Roman" w:cs="Times New Roman"/>
        <w:b w:val="0"/>
      </w:rPr>
    </w:pPr>
    <w:r>
      <w:rPr>
        <w:b w:val="0"/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386080</wp:posOffset>
          </wp:positionV>
          <wp:extent cx="1352550" cy="962025"/>
          <wp:effectExtent l="19050" t="0" r="0" b="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4BF" w:rsidRPr="00E054B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27.05pt;margin-top:34.9pt;width:40.5pt;height: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UfAIAAP4EAAAOAAAAZHJzL2Uyb0RvYy54bWysVF1v0zAUfUfiP1h+75KUpGuiptO6EoQ0&#10;PqSNH+DaTmPh2MF2mwzEf+faaboxQEKIPqQ39vXxufecm9XV0Ep05MYKrUqcXMQYcUU1E2pf4k/3&#10;1WyJkXVEMSK14iV+4BZfrV++WPVdwee60ZJxgwBE2aLvStw41xVRZGnDW2IvdMcVbNbatMTBq9lH&#10;zJAe0FsZzeN4EfXasM5oyq2F1e24idcBv645dR/q2nKHZImBmwtPE547/4zWK1LsDekaQU80yD+w&#10;aIlQcOkZakscQQcjfoFqBTXa6tpdUN1Guq4F5aEGqCaJn1Vz15COh1qgObY7t8n+P1j6/vjRIMFK&#10;PMdIkRYkuueDQxs9oMx3p+9sAUl3HaS5AZZB5VCp7W41/WyR0jcNUXt+bYzuG04YsEv8yejJ0RHH&#10;epBd/04zuIYcnA5AQ21a3zpoBgJ0UOnhrIynQmExS9JXGexQ2MoukywOykWkmA53xro3XLfIByU2&#10;IHwAJ8db6zwZUkwp/i6rpWCVkDK8mP3uRhp0JGCSarGptnng/yxNKp+stD82Io4rwBHu8HuebRD9&#10;W57M03gzz2fVYnk5S6s0m+WX8XIWJ/kmX8Rpnm6r755gkhaNYIyrW6H4ZMAk/TuBT6MwWidYEPUl&#10;zrN5Nir0xyLj8Ptdka1wMI9StCVenpNI4XV9rRiUTQpHhBzj6Gf6ocvQg+k/dCW4wAs/WsANuwFQ&#10;vDV2mj2AH4wGvUBa+IhA0GjzFaMeBrLE9suBGI6RfKvAU356p8BMwW4KiKJwtMQOozG8ceOUHzoj&#10;9g0gj65V+hp8V4vgiUcWJ7fCkAXypw+Cn+Kn7yHr8bO1/gEAAP//AwBQSwMEFAAGAAgAAAAhAMnv&#10;38jdAAAADAEAAA8AAABkcnMvZG93bnJldi54bWxMT8tOwzAQvCPxD9YicaNOWlIgxKmgEmdEQO3V&#10;jbeJRbyOYqdJ+Xq2J7jtPDQ7U2xm14kTDsF6UpAuEhBItTeWGgVfn293jyBC1GR05wkVnDHApry+&#10;KnRu/EQfeKpiIziEQq4VtDH2uZShbtHpsPA9EmtHPzgdGQ6NNIOeONx1cpkka+m0Jf7Q6h63Ldbf&#10;1egUVD/LavdwttP8ug3H/e593412pdTtzfzyDCLiHP/McKnP1aHkTgc/kgmiY5xk9yl7FayfeMPF&#10;ka4yZg58ZUzJspD/R5S/AAAA//8DAFBLAQItABQABgAIAAAAIQC2gziS/gAAAOEBAAATAAAAAAAA&#10;AAAAAAAAAAAAAABbQ29udGVudF9UeXBlc10ueG1sUEsBAi0AFAAGAAgAAAAhADj9If/WAAAAlAEA&#10;AAsAAAAAAAAAAAAAAAAALwEAAF9yZWxzLy5yZWxzUEsBAi0AFAAGAAgAAAAhAOERDlR8AgAA/gQA&#10;AA4AAAAAAAAAAAAAAAAALgIAAGRycy9lMm9Eb2MueG1sUEsBAi0AFAAGAAgAAAAhAMnv38jdAAAA&#10;DAEAAA8AAAAAAAAAAAAAAAAA1gQAAGRycy9kb3ducmV2LnhtbFBLBQYAAAAABAAEAPMAAADgBQAA&#10;AAA=&#10;" fillcolor="#f6bfd9" stroked="f">
          <v:textbox inset="0,0,0,0">
            <w:txbxContent>
              <w:p w:rsidR="00767D68" w:rsidRDefault="00F45E25">
                <w:pPr>
                  <w:pStyle w:val="Zahlavi3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noProof/>
                  </w:rPr>
                  <w:drawing>
                    <wp:inline distT="0" distB="0" distL="0" distR="0">
                      <wp:extent cx="508000" cy="596900"/>
                      <wp:effectExtent l="19050" t="0" r="635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00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67D68" w:rsidRDefault="00767D68">
                <w:pPr>
                  <w:pStyle w:val="Zahlavi3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b w:val="0"/>
        <w:noProof/>
        <w:sz w:val="20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19050" t="0" r="5080" b="0"/>
          <wp:wrapNone/>
          <wp:docPr id="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C69"/>
    <w:multiLevelType w:val="hybridMultilevel"/>
    <w:tmpl w:val="5734F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F096E"/>
    <w:multiLevelType w:val="hybridMultilevel"/>
    <w:tmpl w:val="B524C260"/>
    <w:lvl w:ilvl="0" w:tplc="15A267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3AD"/>
    <w:multiLevelType w:val="hybridMultilevel"/>
    <w:tmpl w:val="18446DFE"/>
    <w:lvl w:ilvl="0" w:tplc="7202575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4EF9"/>
    <w:multiLevelType w:val="hybridMultilevel"/>
    <w:tmpl w:val="0EF8ACF4"/>
    <w:lvl w:ilvl="0" w:tplc="07BABB7C">
      <w:numFmt w:val="bullet"/>
      <w:lvlText w:val="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3E1E4B"/>
    <w:multiLevelType w:val="hybridMultilevel"/>
    <w:tmpl w:val="8A6CB7FC"/>
    <w:lvl w:ilvl="0" w:tplc="C3DA1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7DD8"/>
    <w:multiLevelType w:val="hybridMultilevel"/>
    <w:tmpl w:val="4F62C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1681"/>
    <w:multiLevelType w:val="multilevel"/>
    <w:tmpl w:val="0C3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D711F"/>
    <w:multiLevelType w:val="multilevel"/>
    <w:tmpl w:val="0BF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805D9"/>
    <w:multiLevelType w:val="hybridMultilevel"/>
    <w:tmpl w:val="1BEEC924"/>
    <w:lvl w:ilvl="0" w:tplc="548E41E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69FB1042"/>
    <w:multiLevelType w:val="multilevel"/>
    <w:tmpl w:val="CEF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05855"/>
    <w:multiLevelType w:val="multilevel"/>
    <w:tmpl w:val="003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F7DEE"/>
    <w:multiLevelType w:val="hybridMultilevel"/>
    <w:tmpl w:val="F1FE2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22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0D"/>
    <w:rsid w:val="00003F95"/>
    <w:rsid w:val="00024B42"/>
    <w:rsid w:val="000331BF"/>
    <w:rsid w:val="00062CEE"/>
    <w:rsid w:val="00063876"/>
    <w:rsid w:val="000B175E"/>
    <w:rsid w:val="001346EA"/>
    <w:rsid w:val="001443DC"/>
    <w:rsid w:val="001B4D63"/>
    <w:rsid w:val="001C2052"/>
    <w:rsid w:val="001C3A50"/>
    <w:rsid w:val="001D617F"/>
    <w:rsid w:val="0022156B"/>
    <w:rsid w:val="00233482"/>
    <w:rsid w:val="00272011"/>
    <w:rsid w:val="002937ED"/>
    <w:rsid w:val="002A184B"/>
    <w:rsid w:val="002A563B"/>
    <w:rsid w:val="002E1464"/>
    <w:rsid w:val="002E54E9"/>
    <w:rsid w:val="00300B8B"/>
    <w:rsid w:val="003669A3"/>
    <w:rsid w:val="00382D58"/>
    <w:rsid w:val="00385C87"/>
    <w:rsid w:val="003A15CD"/>
    <w:rsid w:val="003A7FDC"/>
    <w:rsid w:val="003F119F"/>
    <w:rsid w:val="004055C5"/>
    <w:rsid w:val="00423D1B"/>
    <w:rsid w:val="00435B0C"/>
    <w:rsid w:val="004537FF"/>
    <w:rsid w:val="004565E2"/>
    <w:rsid w:val="004608B4"/>
    <w:rsid w:val="00486A67"/>
    <w:rsid w:val="00493FB9"/>
    <w:rsid w:val="00496373"/>
    <w:rsid w:val="004E2B1A"/>
    <w:rsid w:val="004F19D6"/>
    <w:rsid w:val="004F7B19"/>
    <w:rsid w:val="005508B1"/>
    <w:rsid w:val="0055614F"/>
    <w:rsid w:val="00562D61"/>
    <w:rsid w:val="00585A60"/>
    <w:rsid w:val="005A2216"/>
    <w:rsid w:val="005D4CA3"/>
    <w:rsid w:val="005E1894"/>
    <w:rsid w:val="005F4C78"/>
    <w:rsid w:val="0065556C"/>
    <w:rsid w:val="006610E8"/>
    <w:rsid w:val="006E453D"/>
    <w:rsid w:val="006F3AA2"/>
    <w:rsid w:val="00743B5E"/>
    <w:rsid w:val="00754038"/>
    <w:rsid w:val="0076622C"/>
    <w:rsid w:val="00767D68"/>
    <w:rsid w:val="007751AC"/>
    <w:rsid w:val="007827B1"/>
    <w:rsid w:val="007918A7"/>
    <w:rsid w:val="007C1B35"/>
    <w:rsid w:val="007C4278"/>
    <w:rsid w:val="007D0848"/>
    <w:rsid w:val="007E73BC"/>
    <w:rsid w:val="007F2FFA"/>
    <w:rsid w:val="00802903"/>
    <w:rsid w:val="00814F6C"/>
    <w:rsid w:val="008170AE"/>
    <w:rsid w:val="00892A9F"/>
    <w:rsid w:val="008C669E"/>
    <w:rsid w:val="008F5C34"/>
    <w:rsid w:val="009005A8"/>
    <w:rsid w:val="009146FC"/>
    <w:rsid w:val="009150BF"/>
    <w:rsid w:val="009176BA"/>
    <w:rsid w:val="00917A67"/>
    <w:rsid w:val="00930579"/>
    <w:rsid w:val="009313BF"/>
    <w:rsid w:val="009337E1"/>
    <w:rsid w:val="00934D5D"/>
    <w:rsid w:val="00934D76"/>
    <w:rsid w:val="00956E70"/>
    <w:rsid w:val="00956EF3"/>
    <w:rsid w:val="009807C2"/>
    <w:rsid w:val="009D26A9"/>
    <w:rsid w:val="00A12FA7"/>
    <w:rsid w:val="00A54EA9"/>
    <w:rsid w:val="00A73680"/>
    <w:rsid w:val="00AC1161"/>
    <w:rsid w:val="00AC5BB6"/>
    <w:rsid w:val="00AE535C"/>
    <w:rsid w:val="00B22E47"/>
    <w:rsid w:val="00B5719B"/>
    <w:rsid w:val="00B65313"/>
    <w:rsid w:val="00B6733B"/>
    <w:rsid w:val="00B8474D"/>
    <w:rsid w:val="00BB0066"/>
    <w:rsid w:val="00BD22C9"/>
    <w:rsid w:val="00BD2406"/>
    <w:rsid w:val="00C02ACD"/>
    <w:rsid w:val="00C21131"/>
    <w:rsid w:val="00C36348"/>
    <w:rsid w:val="00C54358"/>
    <w:rsid w:val="00C80519"/>
    <w:rsid w:val="00C8324C"/>
    <w:rsid w:val="00CC72B4"/>
    <w:rsid w:val="00D2221A"/>
    <w:rsid w:val="00D251FE"/>
    <w:rsid w:val="00D63859"/>
    <w:rsid w:val="00D81A54"/>
    <w:rsid w:val="00D83F3A"/>
    <w:rsid w:val="00D84530"/>
    <w:rsid w:val="00D9120D"/>
    <w:rsid w:val="00DB78AB"/>
    <w:rsid w:val="00DD1969"/>
    <w:rsid w:val="00DF40B4"/>
    <w:rsid w:val="00E054BF"/>
    <w:rsid w:val="00E11ABF"/>
    <w:rsid w:val="00E20A39"/>
    <w:rsid w:val="00E647E8"/>
    <w:rsid w:val="00E71655"/>
    <w:rsid w:val="00E84D02"/>
    <w:rsid w:val="00E97783"/>
    <w:rsid w:val="00EE19E8"/>
    <w:rsid w:val="00EE1BB9"/>
    <w:rsid w:val="00EE27EF"/>
    <w:rsid w:val="00F03AB0"/>
    <w:rsid w:val="00F15BE0"/>
    <w:rsid w:val="00F25BEF"/>
    <w:rsid w:val="00F45E25"/>
    <w:rsid w:val="00F520BA"/>
    <w:rsid w:val="00F7493D"/>
    <w:rsid w:val="00FB64E6"/>
    <w:rsid w:val="00FC31CC"/>
    <w:rsid w:val="00FD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BF"/>
    <w:pPr>
      <w:spacing w:line="260" w:lineRule="atLeast"/>
    </w:pPr>
    <w:rPr>
      <w:rFonts w:ascii="Arial" w:hAnsi="Arial" w:cs="Arial"/>
      <w:b/>
      <w:sz w:val="22"/>
      <w:szCs w:val="22"/>
    </w:rPr>
  </w:style>
  <w:style w:type="paragraph" w:styleId="Nadpis1">
    <w:name w:val="heading 1"/>
    <w:basedOn w:val="Normln"/>
    <w:next w:val="Normln"/>
    <w:qFormat/>
    <w:rsid w:val="00E054BF"/>
    <w:pPr>
      <w:keepNext/>
      <w:outlineLvl w:val="0"/>
    </w:pPr>
    <w:rPr>
      <w:rFonts w:ascii="Times New Roman" w:hAnsi="Times New Roman" w:cs="Times New Roman"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semiHidden/>
    <w:rsid w:val="00E054BF"/>
    <w:pPr>
      <w:tabs>
        <w:tab w:val="center" w:pos="4536"/>
        <w:tab w:val="right" w:pos="9072"/>
      </w:tabs>
      <w:spacing w:before="300" w:line="220" w:lineRule="atLeast"/>
    </w:pPr>
    <w:rPr>
      <w:sz w:val="18"/>
      <w:szCs w:val="18"/>
    </w:rPr>
  </w:style>
  <w:style w:type="paragraph" w:styleId="Zpat">
    <w:name w:val="footer"/>
    <w:basedOn w:val="Normln"/>
    <w:semiHidden/>
    <w:rsid w:val="00E054BF"/>
    <w:pPr>
      <w:tabs>
        <w:tab w:val="center" w:pos="4536"/>
        <w:tab w:val="right" w:pos="9072"/>
      </w:tabs>
      <w:spacing w:line="180" w:lineRule="atLeast"/>
      <w:ind w:left="6861"/>
    </w:pPr>
    <w:rPr>
      <w:sz w:val="14"/>
      <w:szCs w:val="14"/>
    </w:rPr>
  </w:style>
  <w:style w:type="paragraph" w:customStyle="1" w:styleId="Zahlavi3">
    <w:name w:val="Zahlavi_3"/>
    <w:basedOn w:val="Zhlav"/>
    <w:rsid w:val="00E054BF"/>
    <w:pPr>
      <w:spacing w:before="0"/>
    </w:pPr>
    <w:rPr>
      <w:sz w:val="14"/>
      <w:szCs w:val="14"/>
    </w:rPr>
  </w:style>
  <w:style w:type="paragraph" w:customStyle="1" w:styleId="Zahlavi2">
    <w:name w:val="Zahlavi_2"/>
    <w:basedOn w:val="Zhlav"/>
    <w:rsid w:val="00E054BF"/>
    <w:pPr>
      <w:spacing w:before="0"/>
    </w:pPr>
  </w:style>
  <w:style w:type="paragraph" w:customStyle="1" w:styleId="Zahlavi4">
    <w:name w:val="Zahlavi_4"/>
    <w:basedOn w:val="Zhlav"/>
    <w:rsid w:val="00E054BF"/>
    <w:pPr>
      <w:spacing w:before="0"/>
    </w:pPr>
  </w:style>
  <w:style w:type="paragraph" w:styleId="Zkladntext">
    <w:name w:val="Body Text"/>
    <w:basedOn w:val="Normln"/>
    <w:semiHidden/>
    <w:rsid w:val="00E054BF"/>
    <w:pPr>
      <w:spacing w:after="100" w:line="240" w:lineRule="auto"/>
      <w:jc w:val="both"/>
    </w:pPr>
    <w:rPr>
      <w:bCs/>
      <w:u w:val="single"/>
    </w:rPr>
  </w:style>
  <w:style w:type="character" w:styleId="Hypertextovodkaz">
    <w:name w:val="Hyperlink"/>
    <w:semiHidden/>
    <w:rsid w:val="00E054BF"/>
    <w:rPr>
      <w:color w:val="0000FF"/>
      <w:u w:val="single"/>
    </w:rPr>
  </w:style>
  <w:style w:type="character" w:customStyle="1" w:styleId="detail-hlpolozka">
    <w:name w:val="detail-hlpolozka"/>
    <w:basedOn w:val="Standardnpsmoodstavce"/>
    <w:rsid w:val="00E054BF"/>
  </w:style>
  <w:style w:type="paragraph" w:styleId="Textpoznpodarou">
    <w:name w:val="footnote text"/>
    <w:basedOn w:val="Normln"/>
    <w:semiHidden/>
    <w:rsid w:val="00E054BF"/>
    <w:rPr>
      <w:sz w:val="20"/>
      <w:szCs w:val="20"/>
    </w:rPr>
  </w:style>
  <w:style w:type="character" w:styleId="Znakapoznpodarou">
    <w:name w:val="footnote reference"/>
    <w:semiHidden/>
    <w:rsid w:val="00E054BF"/>
    <w:rPr>
      <w:vertAlign w:val="superscript"/>
    </w:rPr>
  </w:style>
  <w:style w:type="paragraph" w:styleId="Textbubliny">
    <w:name w:val="Balloon Text"/>
    <w:basedOn w:val="Normln"/>
    <w:semiHidden/>
    <w:unhideWhenUsed/>
    <w:rsid w:val="00E05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054BF"/>
    <w:rPr>
      <w:rFonts w:ascii="Tahoma" w:hAnsi="Tahoma" w:cs="Tahoma"/>
      <w:b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8AB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45E2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45E2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vobodova@p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.oo.janovice@p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dulka.mareckova@p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6235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mailto:ra.podatelna@pcr.cz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Kolář</dc:creator>
  <cp:lastModifiedBy>Dagmar Kalašová</cp:lastModifiedBy>
  <cp:revision>2</cp:revision>
  <cp:lastPrinted>2019-01-21T08:27:00Z</cp:lastPrinted>
  <dcterms:created xsi:type="dcterms:W3CDTF">2019-01-21T08:27:00Z</dcterms:created>
  <dcterms:modified xsi:type="dcterms:W3CDTF">2019-01-21T08:27:00Z</dcterms:modified>
</cp:coreProperties>
</file>